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9" w:rsidRDefault="009F29B9">
      <w:pPr>
        <w:rPr>
          <w:rFonts w:ascii="Times New Roman" w:hAnsi="Times New Roman" w:cs="Times New Roman"/>
          <w:sz w:val="24"/>
          <w:szCs w:val="24"/>
        </w:rPr>
      </w:pPr>
    </w:p>
    <w:p w:rsidR="009F29B9" w:rsidRDefault="00244D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247" cy="9171710"/>
            <wp:effectExtent l="0" t="0" r="0" b="0"/>
            <wp:docPr id="1" name="Рисунок 1" descr="Z:\Администрация\_Общая\Суперпланы\титул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_Общая\Суперпланы\титулы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00" cy="91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2B3" w:rsidRDefault="00CC32B3" w:rsidP="000C1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B9" w:rsidRPr="000C15B0" w:rsidRDefault="009F29B9" w:rsidP="000C1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29B9" w:rsidRPr="000C15B0" w:rsidRDefault="009F29B9" w:rsidP="009F29B9">
      <w:pPr>
        <w:pStyle w:val="50"/>
        <w:shd w:val="clear" w:color="auto" w:fill="auto"/>
        <w:spacing w:before="0"/>
        <w:ind w:left="140" w:firstLine="560"/>
        <w:rPr>
          <w:sz w:val="24"/>
          <w:szCs w:val="24"/>
        </w:rPr>
      </w:pPr>
      <w:r w:rsidRPr="000C15B0">
        <w:rPr>
          <w:sz w:val="24"/>
          <w:szCs w:val="24"/>
        </w:rPr>
        <w:t xml:space="preserve">План внеурочной деятельности начального общего образования муниципального общеобразовательного учреждения «Средняя школа № 14 имени </w:t>
      </w:r>
      <w:proofErr w:type="spellStart"/>
      <w:r w:rsidRPr="000C15B0">
        <w:rPr>
          <w:sz w:val="24"/>
          <w:szCs w:val="24"/>
        </w:rPr>
        <w:t>Лататуева</w:t>
      </w:r>
      <w:proofErr w:type="spellEnd"/>
      <w:r w:rsidRPr="000C15B0">
        <w:rPr>
          <w:sz w:val="24"/>
          <w:szCs w:val="24"/>
        </w:rPr>
        <w:t xml:space="preserve"> В.Н.» на 2022 - 2023 учебный год разработан на основе следующих нормативных документов, регламентирующих организацию внеурочной деятельности:</w:t>
      </w:r>
    </w:p>
    <w:p w:rsidR="009F29B9" w:rsidRPr="000C15B0" w:rsidRDefault="00994C93" w:rsidP="00994C93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 xml:space="preserve">- </w:t>
      </w:r>
      <w:r w:rsidR="009F29B9" w:rsidRPr="000C15B0">
        <w:rPr>
          <w:sz w:val="24"/>
          <w:szCs w:val="24"/>
        </w:rPr>
        <w:t>Федеральный закон от 29.12.2012 г. N 273-ФЗ (ред. от 31.07.2020) "Об образовании в Российской Федерации" (с изм. и доп., вступ. в силу с 01.09.2020 г.);</w:t>
      </w:r>
    </w:p>
    <w:p w:rsidR="009F29B9" w:rsidRPr="000C15B0" w:rsidRDefault="009F29B9" w:rsidP="00994C93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>- Федеральный государственный образовательный стандарт начального общего образования от 31 мая 2021г. № 286, (с изменениями и дополнени</w:t>
      </w:r>
      <w:r w:rsidR="00994C93" w:rsidRPr="000C15B0">
        <w:rPr>
          <w:sz w:val="24"/>
          <w:szCs w:val="24"/>
        </w:rPr>
        <w:t>ями от 18.07.2022 Приказ № 569</w:t>
      </w:r>
      <w:proofErr w:type="gramStart"/>
      <w:r w:rsidR="00994C93" w:rsidRPr="000C15B0">
        <w:rPr>
          <w:sz w:val="24"/>
          <w:szCs w:val="24"/>
        </w:rPr>
        <w:t xml:space="preserve"> </w:t>
      </w:r>
      <w:r w:rsidRPr="000C15B0">
        <w:rPr>
          <w:sz w:val="24"/>
          <w:szCs w:val="24"/>
        </w:rPr>
        <w:t>)</w:t>
      </w:r>
      <w:proofErr w:type="gramEnd"/>
      <w:r w:rsidRPr="000C15B0">
        <w:rPr>
          <w:sz w:val="24"/>
          <w:szCs w:val="24"/>
        </w:rPr>
        <w:t>;</w:t>
      </w:r>
    </w:p>
    <w:p w:rsidR="009F29B9" w:rsidRPr="000C15B0" w:rsidRDefault="009F29B9" w:rsidP="009F29B9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№ 115;</w:t>
      </w:r>
    </w:p>
    <w:p w:rsidR="00994C93" w:rsidRPr="000C15B0" w:rsidRDefault="00994C93" w:rsidP="00994C93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>-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(Приложение к письму Министерства Просвещения Российской Федерации от 5 июля 2022 года N ТВ-1290/03</w:t>
      </w:r>
      <w:proofErr w:type="gramStart"/>
      <w:r w:rsidRPr="000C15B0">
        <w:rPr>
          <w:sz w:val="24"/>
          <w:szCs w:val="24"/>
        </w:rPr>
        <w:t xml:space="preserve"> О</w:t>
      </w:r>
      <w:proofErr w:type="gramEnd"/>
      <w:r w:rsidRPr="000C15B0">
        <w:rPr>
          <w:sz w:val="24"/>
          <w:szCs w:val="24"/>
        </w:rPr>
        <w:t xml:space="preserve"> направлении методических рекомендаций);</w:t>
      </w:r>
    </w:p>
    <w:p w:rsidR="000C15B0" w:rsidRPr="000C15B0" w:rsidRDefault="000C15B0" w:rsidP="000C15B0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(приложение к Письму </w:t>
      </w:r>
      <w:proofErr w:type="spellStart"/>
      <w:r w:rsidRPr="000C15B0">
        <w:rPr>
          <w:sz w:val="24"/>
          <w:szCs w:val="24"/>
        </w:rPr>
        <w:t>Минобрнауки</w:t>
      </w:r>
      <w:proofErr w:type="spellEnd"/>
      <w:r w:rsidRPr="000C15B0">
        <w:rPr>
          <w:sz w:val="24"/>
          <w:szCs w:val="24"/>
        </w:rPr>
        <w:t xml:space="preserve"> России от 18.08.2017 N 09-1672);</w:t>
      </w:r>
    </w:p>
    <w:p w:rsidR="000C15B0" w:rsidRPr="000C15B0" w:rsidRDefault="000C15B0" w:rsidP="000C15B0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>Письмо Министерства просвещения РФ от 5 сентября 2018 г. № ОЗ-ПГ-МП-42216 «Об участии учеников муниципальных и государственных школ РФ во внеурочной деятельности»;</w:t>
      </w:r>
    </w:p>
    <w:p w:rsidR="009F29B9" w:rsidRPr="000C15B0" w:rsidRDefault="009F29B9" w:rsidP="000C15B0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 xml:space="preserve">- </w:t>
      </w: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994C93" w:rsidRPr="000C15B0" w:rsidRDefault="009F29B9" w:rsidP="00994C93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 xml:space="preserve">- </w:t>
      </w: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</w:t>
      </w:r>
      <w:r w:rsidR="00994C93" w:rsidRPr="000C15B0">
        <w:rPr>
          <w:sz w:val="24"/>
          <w:szCs w:val="24"/>
        </w:rPr>
        <w:t>2);</w:t>
      </w:r>
    </w:p>
    <w:p w:rsidR="009F29B9" w:rsidRPr="00D240BD" w:rsidRDefault="00994C93" w:rsidP="00D240BD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0C15B0">
        <w:rPr>
          <w:sz w:val="24"/>
          <w:szCs w:val="24"/>
        </w:rPr>
        <w:t>- Основная образовательная программа начального общего образования (утв. приказом  от</w:t>
      </w:r>
      <w:r w:rsidR="000C15B0" w:rsidRPr="000C15B0">
        <w:rPr>
          <w:sz w:val="24"/>
          <w:szCs w:val="24"/>
        </w:rPr>
        <w:t xml:space="preserve"> 23.06.2022г.</w:t>
      </w:r>
      <w:r w:rsidRPr="000C15B0">
        <w:rPr>
          <w:sz w:val="24"/>
          <w:szCs w:val="24"/>
        </w:rPr>
        <w:t xml:space="preserve"> № </w:t>
      </w:r>
      <w:r w:rsidR="000C15B0" w:rsidRPr="000C15B0">
        <w:rPr>
          <w:sz w:val="24"/>
          <w:szCs w:val="24"/>
        </w:rPr>
        <w:t>68-02/01-06</w:t>
      </w:r>
      <w:r w:rsidRPr="000C15B0">
        <w:rPr>
          <w:sz w:val="24"/>
          <w:szCs w:val="24"/>
        </w:rPr>
        <w:t xml:space="preserve">, с изменениями </w:t>
      </w:r>
      <w:r w:rsidR="000C15B0" w:rsidRPr="000C15B0">
        <w:rPr>
          <w:sz w:val="24"/>
          <w:szCs w:val="24"/>
        </w:rPr>
        <w:t>и дополнениями, утв. приказом от 01.09.2022г. № 87-18/01-06).</w:t>
      </w:r>
    </w:p>
    <w:p w:rsidR="009F29B9" w:rsidRDefault="00186E6B" w:rsidP="004B5A8C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proofErr w:type="gramStart"/>
      <w:r w:rsidRPr="004B5A8C">
        <w:rPr>
          <w:sz w:val="24"/>
          <w:szCs w:val="24"/>
        </w:rPr>
        <w:t xml:space="preserve">В соответствии с ФГОС НОО план внеурочной деятельности муниципального общеобразовательного учреждения «Средняя школа № 14 имени </w:t>
      </w:r>
      <w:proofErr w:type="spellStart"/>
      <w:r w:rsidRPr="004B5A8C">
        <w:rPr>
          <w:sz w:val="24"/>
          <w:szCs w:val="24"/>
        </w:rPr>
        <w:t>Лататуева</w:t>
      </w:r>
      <w:proofErr w:type="spellEnd"/>
      <w:r w:rsidRPr="004B5A8C">
        <w:rPr>
          <w:sz w:val="24"/>
          <w:szCs w:val="24"/>
        </w:rPr>
        <w:t xml:space="preserve"> В.Н.» </w:t>
      </w:r>
      <w:r w:rsidRPr="004B5A8C">
        <w:rPr>
          <w:sz w:val="24"/>
          <w:szCs w:val="24"/>
        </w:rPr>
        <w:lastRenderedPageBreak/>
        <w:t xml:space="preserve">реализуется посредством рабочих программ учебных курсов внеурочной деятельности, определяет формы организации и объем внеурочной деятельности </w:t>
      </w:r>
      <w:r w:rsidR="004B5A8C" w:rsidRPr="004B5A8C">
        <w:rPr>
          <w:sz w:val="24"/>
          <w:szCs w:val="24"/>
        </w:rPr>
        <w:t>для обучающихся при освоении ими ООП НОО с учетом образовательных потребностей и интересов обучающихся, запросов родителей  (законных представителей) несовершеннолетних обучающихся, возможностей  и специфики муниципального общеобразовательного учреждения «Средняя</w:t>
      </w:r>
      <w:proofErr w:type="gramEnd"/>
      <w:r w:rsidR="004B5A8C" w:rsidRPr="004B5A8C">
        <w:rPr>
          <w:sz w:val="24"/>
          <w:szCs w:val="24"/>
        </w:rPr>
        <w:t xml:space="preserve"> школа № 14 имени </w:t>
      </w:r>
      <w:proofErr w:type="spellStart"/>
      <w:r w:rsidR="004B5A8C" w:rsidRPr="004B5A8C">
        <w:rPr>
          <w:sz w:val="24"/>
          <w:szCs w:val="24"/>
        </w:rPr>
        <w:t>Лататуева</w:t>
      </w:r>
      <w:proofErr w:type="spellEnd"/>
      <w:r w:rsidR="004B5A8C" w:rsidRPr="004B5A8C">
        <w:rPr>
          <w:sz w:val="24"/>
          <w:szCs w:val="24"/>
        </w:rPr>
        <w:t xml:space="preserve"> В.Н.».</w:t>
      </w:r>
    </w:p>
    <w:p w:rsidR="002A70FB" w:rsidRPr="002A70FB" w:rsidRDefault="002A70FB" w:rsidP="002A70FB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 w:rsidRPr="002A70FB">
        <w:rPr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2A70FB" w:rsidRPr="002A70FB" w:rsidRDefault="002A70FB" w:rsidP="002A70FB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proofErr w:type="gramStart"/>
      <w:r w:rsidRPr="002A70FB">
        <w:rPr>
          <w:sz w:val="24"/>
          <w:szCs w:val="24"/>
        </w:rPr>
        <w:t xml:space="preserve">-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</w:t>
      </w:r>
      <w:proofErr w:type="spellStart"/>
      <w:r w:rsidRPr="002A70FB">
        <w:rPr>
          <w:sz w:val="24"/>
          <w:szCs w:val="24"/>
        </w:rPr>
        <w:t>интересовобучающихся</w:t>
      </w:r>
      <w:proofErr w:type="spellEnd"/>
      <w:r w:rsidRPr="002A70FB">
        <w:rPr>
          <w:sz w:val="24"/>
          <w:szCs w:val="24"/>
        </w:rPr>
        <w:t>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2A70FB" w:rsidRPr="002A70FB" w:rsidRDefault="002A70FB" w:rsidP="002A70FB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 xml:space="preserve">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</w:t>
      </w:r>
      <w:proofErr w:type="spellStart"/>
      <w:r w:rsidRPr="002A70FB">
        <w:rPr>
          <w:sz w:val="24"/>
          <w:szCs w:val="24"/>
        </w:rPr>
        <w:t>метапредметные</w:t>
      </w:r>
      <w:proofErr w:type="spellEnd"/>
      <w:r w:rsidRPr="002A70FB">
        <w:rPr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2A70FB">
        <w:rPr>
          <w:sz w:val="24"/>
          <w:szCs w:val="24"/>
        </w:rPr>
        <w:t>волонтёрство</w:t>
      </w:r>
      <w:proofErr w:type="spellEnd"/>
      <w:r w:rsidRPr="002A70FB">
        <w:rPr>
          <w:sz w:val="24"/>
          <w:szCs w:val="24"/>
        </w:rPr>
        <w:t>), включая общественно полезную деятельность, профессиональные пробы</w:t>
      </w:r>
      <w:proofErr w:type="gramEnd"/>
      <w:r w:rsidRPr="002A70FB">
        <w:rPr>
          <w:sz w:val="24"/>
          <w:szCs w:val="24"/>
        </w:rPr>
        <w:t>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2A70FB" w:rsidRPr="002A70FB" w:rsidRDefault="002A70FB" w:rsidP="002A70FB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>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-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</w:t>
      </w:r>
      <w:proofErr w:type="gramEnd"/>
      <w:r w:rsidRPr="002A70FB">
        <w:rPr>
          <w:sz w:val="24"/>
          <w:szCs w:val="24"/>
        </w:rPr>
        <w:t xml:space="preserve"> детских, подростковых и юношеских общественных объединений, организаций и т. д.</w:t>
      </w:r>
    </w:p>
    <w:p w:rsidR="002A70FB" w:rsidRPr="002A70FB" w:rsidRDefault="002A70FB" w:rsidP="002A70FB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 xml:space="preserve"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</w:t>
      </w:r>
      <w:r w:rsidRPr="002A70FB">
        <w:rPr>
          <w:sz w:val="24"/>
          <w:szCs w:val="24"/>
        </w:rPr>
        <w:lastRenderedPageBreak/>
        <w:t xml:space="preserve">обеспечению успешной реализации образовательной программы и т. д.); -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2A70FB">
        <w:rPr>
          <w:sz w:val="24"/>
          <w:szCs w:val="24"/>
        </w:rPr>
        <w:t>тьюторов</w:t>
      </w:r>
      <w:proofErr w:type="spellEnd"/>
      <w:r w:rsidRPr="002A70FB">
        <w:rPr>
          <w:sz w:val="24"/>
          <w:szCs w:val="24"/>
        </w:rPr>
        <w:t>, педагогов-психологов);</w:t>
      </w:r>
    </w:p>
    <w:p w:rsidR="002A70FB" w:rsidRDefault="002A70FB" w:rsidP="002A70FB">
      <w:pPr>
        <w:pStyle w:val="50"/>
        <w:shd w:val="clear" w:color="auto" w:fill="auto"/>
        <w:spacing w:before="0"/>
        <w:ind w:left="1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>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</w:t>
      </w:r>
    </w:p>
    <w:p w:rsidR="009F29B9" w:rsidRPr="004B5A8C" w:rsidRDefault="004B5A8C" w:rsidP="00D27E40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r>
        <w:rPr>
          <w:sz w:val="24"/>
          <w:szCs w:val="24"/>
        </w:rPr>
        <w:t>Внеу</w:t>
      </w:r>
      <w:r w:rsidR="00D27E40">
        <w:rPr>
          <w:sz w:val="24"/>
          <w:szCs w:val="24"/>
        </w:rPr>
        <w:t>рочная деятельность младших школьников реализуется в таких формах как экскурсии, кружки, секции, клубы, игротеки, спецкурсы, мастерские, объединения, мини-исследования, олимпиады, общественно-полезные практики на добровольной основе в соответствии с выбором участников образовательных отношений. Формы внеурочной деятельности предусматривают активность и самостоятельность обучающихся, сочетают индивидуальную и групповую работу, обеспечивают гибкий режим занятий (продолжительность, последовательность), переменный состав обучающихся.</w:t>
      </w:r>
    </w:p>
    <w:p w:rsidR="004B5A8C" w:rsidRDefault="004B5A8C" w:rsidP="00D27E40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r w:rsidRPr="00D27E40">
        <w:rPr>
          <w:sz w:val="24"/>
          <w:szCs w:val="24"/>
        </w:rPr>
        <w:t xml:space="preserve">В </w:t>
      </w:r>
      <w:r w:rsidR="00D27E40" w:rsidRPr="00D27E40">
        <w:rPr>
          <w:sz w:val="24"/>
          <w:szCs w:val="24"/>
        </w:rPr>
        <w:t xml:space="preserve">организации </w:t>
      </w:r>
      <w:r w:rsidRPr="00D27E40">
        <w:rPr>
          <w:sz w:val="24"/>
          <w:szCs w:val="24"/>
        </w:rPr>
        <w:t xml:space="preserve"> внеурочной деятельности принимают участие педагогические работники школы: классные руководители, учителя-предметники, педагог-организатор, воспитатель ГПД, педагог-психолог, учитель-логопед и педагоги дополнительного образования.</w:t>
      </w:r>
      <w:r w:rsidR="00D27E40" w:rsidRPr="00D27E40">
        <w:rPr>
          <w:sz w:val="24"/>
          <w:szCs w:val="24"/>
        </w:rPr>
        <w:t xml:space="preserve"> Педагоги, реализующие рабочие программы  курсов внеурочной деятельности интегрируют свою деятельность с модулями программы воспитания  и календарным планом воспитательной работы.</w:t>
      </w:r>
    </w:p>
    <w:p w:rsidR="00D27E40" w:rsidRDefault="00D27E40" w:rsidP="00D240BD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Количество занятий внеурочной деятельности для ка</w:t>
      </w:r>
      <w:r w:rsidR="00D240BD">
        <w:rPr>
          <w:sz w:val="24"/>
          <w:szCs w:val="24"/>
        </w:rPr>
        <w:t xml:space="preserve">ждого обучающегося определяется </w:t>
      </w:r>
      <w:r w:rsidRPr="00D240BD">
        <w:rPr>
          <w:sz w:val="24"/>
          <w:szCs w:val="24"/>
        </w:rPr>
        <w:t>его родителями (законными представителями) с учетом за</w:t>
      </w:r>
      <w:r w:rsidR="00D240BD" w:rsidRPr="00D240BD">
        <w:rPr>
          <w:sz w:val="24"/>
          <w:szCs w:val="24"/>
        </w:rPr>
        <w:t>нятости обучающегося в учреждениях</w:t>
      </w:r>
      <w:r w:rsidR="00D240BD">
        <w:rPr>
          <w:sz w:val="24"/>
          <w:szCs w:val="24"/>
        </w:rPr>
        <w:t xml:space="preserve"> </w:t>
      </w:r>
      <w:r w:rsidRPr="00D240BD">
        <w:rPr>
          <w:sz w:val="24"/>
          <w:szCs w:val="24"/>
        </w:rPr>
        <w:t xml:space="preserve">дополнительного образования. Максимальная нагрузка па обучающегося </w:t>
      </w:r>
      <w:r w:rsidR="00D240BD" w:rsidRPr="00D240BD">
        <w:rPr>
          <w:sz w:val="24"/>
          <w:szCs w:val="24"/>
        </w:rPr>
        <w:t xml:space="preserve"> 1 класса </w:t>
      </w:r>
      <w:r w:rsidRPr="00D240BD">
        <w:rPr>
          <w:sz w:val="24"/>
          <w:szCs w:val="24"/>
        </w:rPr>
        <w:t>- 10 часо</w:t>
      </w:r>
      <w:r w:rsidR="00D240BD">
        <w:rPr>
          <w:sz w:val="24"/>
          <w:szCs w:val="24"/>
        </w:rPr>
        <w:t>в в неделю</w:t>
      </w:r>
      <w:r w:rsidRPr="00D240BD">
        <w:rPr>
          <w:sz w:val="24"/>
          <w:szCs w:val="24"/>
        </w:rPr>
        <w:t>.</w:t>
      </w:r>
    </w:p>
    <w:p w:rsidR="00D240BD" w:rsidRPr="00D240BD" w:rsidRDefault="00D240BD" w:rsidP="00D240BD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Продолжительность занятий внеурочной деятельности зависит от возраста обучающихся и вида деятельности и составляет в первом полугоди</w:t>
      </w:r>
      <w:r>
        <w:rPr>
          <w:sz w:val="24"/>
          <w:szCs w:val="24"/>
        </w:rPr>
        <w:t>и первого класса -</w:t>
      </w:r>
      <w:r w:rsidRPr="00D240BD">
        <w:rPr>
          <w:sz w:val="24"/>
          <w:szCs w:val="24"/>
        </w:rPr>
        <w:t xml:space="preserve">30 минут, во втором полугодии первого класса и во 2 - 4 классах </w:t>
      </w:r>
      <w:r>
        <w:rPr>
          <w:sz w:val="24"/>
          <w:szCs w:val="24"/>
        </w:rPr>
        <w:t>–</w:t>
      </w:r>
      <w:r w:rsidRPr="00D24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35 </w:t>
      </w:r>
      <w:r w:rsidRPr="00D240BD">
        <w:rPr>
          <w:sz w:val="24"/>
          <w:szCs w:val="24"/>
        </w:rPr>
        <w:t>минут.</w:t>
      </w:r>
    </w:p>
    <w:p w:rsidR="00D240BD" w:rsidRPr="00D240BD" w:rsidRDefault="00D240BD" w:rsidP="00D240BD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Для организации внеурочной деятельности используются общешкольные помещения (классные комнаты, предметные кабинеты, спортивный зал, хоровой класс, библиотека), а также пришкольная спортивная площадка и пришкольный участок.</w:t>
      </w:r>
    </w:p>
    <w:p w:rsidR="00D240BD" w:rsidRPr="00D240BD" w:rsidRDefault="00D240BD" w:rsidP="00D240BD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 xml:space="preserve">Система оценки достижения планируемых результатов освоения ООП НОО ориентирует образовательную деятельность на личностное развитие и воспитание обучающихся, достижение планируемых результатов освоения учебных курсов внеурочной деятельности и формирование универсальных учебных действий </w:t>
      </w:r>
      <w:proofErr w:type="gramStart"/>
      <w:r w:rsidRPr="00D240BD">
        <w:rPr>
          <w:sz w:val="24"/>
          <w:szCs w:val="24"/>
        </w:rPr>
        <w:t>у</w:t>
      </w:r>
      <w:proofErr w:type="gramEnd"/>
      <w:r w:rsidRPr="00D240BD">
        <w:rPr>
          <w:sz w:val="24"/>
          <w:szCs w:val="24"/>
        </w:rPr>
        <w:t xml:space="preserve"> обучающихся.</w:t>
      </w:r>
    </w:p>
    <w:p w:rsidR="00D240BD" w:rsidRDefault="00D240BD" w:rsidP="00D240BD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 xml:space="preserve">Оценка достижения обучающимися планируемых результатов проводится </w:t>
      </w:r>
      <w:r w:rsidRPr="00D240BD">
        <w:rPr>
          <w:sz w:val="24"/>
          <w:szCs w:val="24"/>
        </w:rPr>
        <w:lastRenderedPageBreak/>
        <w:t>педагогами на каждом замятии внеурочной деятельности, а также по итогам учебного года. Результат прохождения отдельных курсов внеурочной деятельности в виде сертифика</w:t>
      </w:r>
      <w:r>
        <w:rPr>
          <w:sz w:val="24"/>
          <w:szCs w:val="24"/>
        </w:rPr>
        <w:t>тов, свидетельств, от</w:t>
      </w:r>
      <w:r w:rsidRPr="00D240BD">
        <w:rPr>
          <w:sz w:val="24"/>
          <w:szCs w:val="24"/>
        </w:rPr>
        <w:t>дельных работ фиксируется в портфолио обуча</w:t>
      </w:r>
      <w:r>
        <w:rPr>
          <w:sz w:val="24"/>
          <w:szCs w:val="24"/>
        </w:rPr>
        <w:t>ющегося. Промежуточная аттестаци</w:t>
      </w:r>
      <w:r w:rsidRPr="00D240BD">
        <w:rPr>
          <w:sz w:val="24"/>
          <w:szCs w:val="24"/>
        </w:rPr>
        <w:t>я в рамках внеурочной деятельности проводится в форме зачёта.</w:t>
      </w:r>
    </w:p>
    <w:p w:rsidR="006D3E88" w:rsidRPr="00591193" w:rsidRDefault="00591193" w:rsidP="00D240BD">
      <w:pPr>
        <w:pStyle w:val="50"/>
        <w:shd w:val="clear" w:color="auto" w:fill="auto"/>
        <w:spacing w:before="0"/>
        <w:ind w:left="142" w:firstLine="709"/>
        <w:rPr>
          <w:b/>
          <w:sz w:val="24"/>
          <w:szCs w:val="24"/>
        </w:rPr>
      </w:pPr>
      <w:r w:rsidRPr="00591193">
        <w:rPr>
          <w:b/>
          <w:sz w:val="24"/>
          <w:szCs w:val="24"/>
        </w:rPr>
        <w:t>План внеурочной деятельности 1-х классов на 2022-2023 учебный год</w:t>
      </w:r>
    </w:p>
    <w:tbl>
      <w:tblPr>
        <w:tblpPr w:leftFromText="180" w:rightFromText="180" w:vertAnchor="text" w:horzAnchor="margin" w:tblpXSpec="center" w:tblpY="125"/>
        <w:tblW w:w="108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89"/>
        <w:gridCol w:w="2551"/>
        <w:gridCol w:w="1418"/>
        <w:gridCol w:w="567"/>
        <w:gridCol w:w="567"/>
        <w:gridCol w:w="567"/>
        <w:gridCol w:w="709"/>
        <w:gridCol w:w="709"/>
      </w:tblGrid>
      <w:tr w:rsidR="006D3E88" w:rsidTr="00CF6461">
        <w:trPr>
          <w:trHeight w:val="541"/>
        </w:trPr>
        <w:tc>
          <w:tcPr>
            <w:tcW w:w="7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3E88" w:rsidTr="00CF6461">
        <w:trPr>
          <w:trHeight w:val="541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95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6D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3E88" w:rsidRPr="006D3E88" w:rsidRDefault="006D3E88" w:rsidP="0095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6D3E88" w:rsidRPr="00937DD4" w:rsidTr="00CF6461">
        <w:trPr>
          <w:trHeight w:val="541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014352" w:rsidRDefault="006D3E88" w:rsidP="00014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0143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1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6D3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: Разговор о </w:t>
            </w:r>
            <w:proofErr w:type="gramStart"/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D3E88" w:rsidRPr="006D3E88" w:rsidRDefault="006D3E88" w:rsidP="006D3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 царство»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D3E88" w:rsidRPr="006D3E88" w:rsidRDefault="006D3E88" w:rsidP="006D3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6D3E88" w:rsidRPr="006D3E88" w:rsidRDefault="006D3E88" w:rsidP="006D3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88" w:rsidRPr="006D3E88" w:rsidRDefault="006D3E88" w:rsidP="006D3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88" w:rsidRPr="006D3E88" w:rsidRDefault="006D3E88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E88" w:rsidRPr="00937DD4" w:rsidTr="00CF6461">
        <w:trPr>
          <w:trHeight w:val="1128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014352" w:rsidRDefault="006D3E88" w:rsidP="00014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014352" w:rsidRDefault="006D3E88" w:rsidP="00014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: Мир вокруг меня»</w:t>
            </w:r>
          </w:p>
          <w:p w:rsidR="006D3E88" w:rsidRPr="006D3E88" w:rsidRDefault="006D3E88" w:rsidP="00014352">
            <w:pPr>
              <w:pStyle w:val="a6"/>
            </w:pPr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352" w:rsidRPr="000143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14352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14352" w:rsidRDefault="006D3E88" w:rsidP="006D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6D3E88" w:rsidRPr="006D3E88" w:rsidRDefault="00014352" w:rsidP="006D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6D3E88" w:rsidRPr="006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88" w:rsidRPr="006D3E88" w:rsidRDefault="00014352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6D3E88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88" w:rsidRPr="006D3E88" w:rsidRDefault="006D3E88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3E88" w:rsidRPr="006D3E88" w:rsidRDefault="006D3E88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E88" w:rsidRPr="00937DD4" w:rsidTr="00CF6461">
        <w:trPr>
          <w:trHeight w:val="1452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014352" w:rsidRDefault="00014352" w:rsidP="00014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профессиональных интересов и потребностей обучающихся</w:t>
            </w:r>
            <w:r w:rsidR="00DC6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69AB" w:rsidRPr="0001435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интересов и потребностей обучающихся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014352" w:rsidP="006D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школьник:</w:t>
            </w:r>
            <w:r w:rsidR="00DC69A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школьная жизнь»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D3E88" w:rsidRPr="006D3E88" w:rsidRDefault="00014352" w:rsidP="006D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014352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014352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014352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3E88" w:rsidRPr="006D3E88" w:rsidRDefault="00014352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3E88" w:rsidRPr="006D3E88" w:rsidRDefault="00014352" w:rsidP="0055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461" w:rsidRPr="00937DD4" w:rsidTr="00CF6461">
        <w:trPr>
          <w:trHeight w:val="1452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6461" w:rsidRDefault="00CF6461" w:rsidP="00014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реализацию особых интеллектуальных и социокультурных потребностей обучающихся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«Школа умелого карандаша»</w:t>
            </w:r>
          </w:p>
          <w:p w:rsidR="00CF6461" w:rsidRDefault="00CF6461" w:rsidP="00CF6461">
            <w:pPr>
              <w:pStyle w:val="a6"/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6461" w:rsidRPr="00557825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Pr="00557825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5" w:rsidRP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61" w:rsidRP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5" w:rsidRP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5" w:rsidRP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5" w:rsidRP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25" w:rsidRPr="00557825" w:rsidRDefault="00557825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52" w:rsidRPr="00937DD4" w:rsidTr="00CF6461">
        <w:trPr>
          <w:trHeight w:val="497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014352" w:rsidRDefault="00014352" w:rsidP="00014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2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01435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01435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«Мы за здоровье»</w:t>
            </w: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«Семь нот»</w:t>
            </w:r>
          </w:p>
          <w:p w:rsid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театр»</w:t>
            </w: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14352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  <w:p w:rsid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CF6461" w:rsidRPr="00CF6461" w:rsidRDefault="00CF6461" w:rsidP="00CF64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CF6461" w:rsidRDefault="00014352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61" w:rsidRP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P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093D" w:rsidRDefault="00CA093D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P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P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4352" w:rsidRPr="00CF6461" w:rsidRDefault="00014352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461" w:rsidRPr="00CF6461" w:rsidRDefault="00CF6461" w:rsidP="00557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52" w:rsidRPr="00E111B6" w:rsidTr="00CF6461">
        <w:trPr>
          <w:trHeight w:val="257"/>
        </w:trPr>
        <w:tc>
          <w:tcPr>
            <w:tcW w:w="7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CA093D" w:rsidRDefault="00CA093D" w:rsidP="00014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93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нагрузка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6D3E88" w:rsidRDefault="00014352" w:rsidP="00014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6D3E88" w:rsidRDefault="00014352" w:rsidP="00014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6D3E88" w:rsidRDefault="00014352" w:rsidP="00014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4352" w:rsidRPr="006D3E88" w:rsidRDefault="00014352" w:rsidP="00014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4352" w:rsidRPr="006D3E88" w:rsidRDefault="00CA093D" w:rsidP="00014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6D3E88" w:rsidRPr="00D240BD" w:rsidRDefault="006D3E88" w:rsidP="00D240BD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</w:p>
    <w:p w:rsidR="00D27E40" w:rsidRPr="00D27E40" w:rsidRDefault="00D27E40" w:rsidP="00D240BD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</w:p>
    <w:p w:rsidR="009F29B9" w:rsidRPr="00395BB8" w:rsidRDefault="009F29B9" w:rsidP="004B5A8C">
      <w:pPr>
        <w:pStyle w:val="50"/>
        <w:shd w:val="clear" w:color="auto" w:fill="auto"/>
        <w:spacing w:before="0"/>
        <w:ind w:left="142" w:firstLine="709"/>
        <w:rPr>
          <w:sz w:val="24"/>
          <w:szCs w:val="24"/>
        </w:rPr>
      </w:pPr>
    </w:p>
    <w:sectPr w:rsidR="009F29B9" w:rsidRPr="00395BB8" w:rsidSect="004D1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95"/>
    <w:multiLevelType w:val="multilevel"/>
    <w:tmpl w:val="0D3C1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057D8"/>
    <w:multiLevelType w:val="multilevel"/>
    <w:tmpl w:val="7012E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61A70"/>
    <w:multiLevelType w:val="hybridMultilevel"/>
    <w:tmpl w:val="219CCD6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3D75"/>
    <w:multiLevelType w:val="multilevel"/>
    <w:tmpl w:val="E50C9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B8"/>
    <w:rsid w:val="00014352"/>
    <w:rsid w:val="000C15B0"/>
    <w:rsid w:val="00186E6B"/>
    <w:rsid w:val="00244DC2"/>
    <w:rsid w:val="002A70FB"/>
    <w:rsid w:val="00395BB8"/>
    <w:rsid w:val="0042417A"/>
    <w:rsid w:val="004B5A8C"/>
    <w:rsid w:val="004D1A5A"/>
    <w:rsid w:val="00557825"/>
    <w:rsid w:val="00591193"/>
    <w:rsid w:val="00694F32"/>
    <w:rsid w:val="006D3E88"/>
    <w:rsid w:val="00994C93"/>
    <w:rsid w:val="009D5AF8"/>
    <w:rsid w:val="009F29B9"/>
    <w:rsid w:val="00CA093D"/>
    <w:rsid w:val="00CC32B3"/>
    <w:rsid w:val="00CF6461"/>
    <w:rsid w:val="00D240BD"/>
    <w:rsid w:val="00D27E40"/>
    <w:rsid w:val="00D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F29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29B9"/>
    <w:pPr>
      <w:widowControl w:val="0"/>
      <w:shd w:val="clear" w:color="auto" w:fill="FFFFFF"/>
      <w:spacing w:before="360" w:after="0" w:line="389" w:lineRule="exact"/>
      <w:ind w:hanging="14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F29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9B9"/>
    <w:pPr>
      <w:widowControl w:val="0"/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5"/>
    <w:uiPriority w:val="34"/>
    <w:qFormat/>
    <w:rsid w:val="009F29B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F29B9"/>
    <w:rPr>
      <w:rFonts w:ascii="Calibri" w:eastAsia="Calibri" w:hAnsi="Calibri" w:cs="Times New Roman"/>
      <w:sz w:val="24"/>
      <w:szCs w:val="24"/>
    </w:rPr>
  </w:style>
  <w:style w:type="character" w:customStyle="1" w:styleId="3">
    <w:name w:val="Основной текст (3) + Не полужирный"/>
    <w:basedOn w:val="a0"/>
    <w:rsid w:val="00D24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D3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6D3E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2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Курина Татьяна Константиновна</cp:lastModifiedBy>
  <cp:revision>10</cp:revision>
  <dcterms:created xsi:type="dcterms:W3CDTF">2022-10-02T11:51:00Z</dcterms:created>
  <dcterms:modified xsi:type="dcterms:W3CDTF">2022-10-04T08:43:00Z</dcterms:modified>
</cp:coreProperties>
</file>